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40B11FF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661E2FB3" w14:textId="3E9C3884" w:rsidR="001567FD" w:rsidRPr="00CA1169" w:rsidRDefault="00D33649" w:rsidP="00776DDD">
      <w:pPr>
        <w:ind w:right="-851"/>
        <w:jc w:val="center"/>
        <w:rPr>
          <w:rFonts w:ascii="Times New Roman" w:hAnsi="Times New Roman" w:cs="Times New Roman"/>
          <w:b/>
          <w:color w:val="00B050"/>
        </w:rPr>
      </w:pPr>
      <w:r>
        <w:rPr>
          <w:rFonts w:ascii="Times New Roman" w:hAnsi="Times New Roman" w:cs="Times New Roman"/>
          <w:b/>
          <w:sz w:val="28"/>
        </w:rPr>
        <w:t>CABINET DE COURTAGE BIZET</w:t>
      </w:r>
    </w:p>
    <w:p w14:paraId="2F18E2C9" w14:textId="77777777" w:rsidR="00151589" w:rsidRPr="00CA1169" w:rsidRDefault="00151589">
      <w:pPr>
        <w:rPr>
          <w:rFonts w:ascii="Times New Roman" w:hAnsi="Times New Roman" w:cs="Times New Roman"/>
        </w:rPr>
      </w:pPr>
    </w:p>
    <w:p w14:paraId="68C0FD0D" w14:textId="3F6BC5AF"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 xml:space="preserve">Date de dernière mise à jour : </w:t>
      </w:r>
      <w:r w:rsidR="00D33649">
        <w:rPr>
          <w:rFonts w:ascii="Times New Roman" w:hAnsi="Times New Roman" w:cs="Times New Roman"/>
          <w:i/>
        </w:rPr>
        <w:t>27/10/2021</w:t>
      </w:r>
    </w:p>
    <w:p w14:paraId="4EB8D93A" w14:textId="30551860" w:rsidR="00865873" w:rsidRPr="00CA1169" w:rsidRDefault="00D33649" w:rsidP="008D4BEB">
      <w:pPr>
        <w:jc w:val="both"/>
        <w:rPr>
          <w:rFonts w:ascii="Times New Roman" w:hAnsi="Times New Roman" w:cs="Times New Roman"/>
        </w:rPr>
      </w:pPr>
      <w:r>
        <w:rPr>
          <w:rFonts w:ascii="Times New Roman" w:hAnsi="Times New Roman" w:cs="Times New Roman"/>
        </w:rPr>
        <w:t>CABINET DE COURTAGE BIZET</w:t>
      </w:r>
      <w:r w:rsidR="00865873" w:rsidRPr="00CA1169">
        <w:rPr>
          <w:rFonts w:ascii="Times New Roman" w:hAnsi="Times New Roman" w:cs="Times New Roman"/>
          <w:color w:val="ED7D31" w:themeColor="accent2"/>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472696D" w14:textId="3EAC734E"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54434EE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53667EE" w14:textId="46D9AB88"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033DECE8" w14:textId="4DB3B5F7"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79B632C8" w14:textId="76DB6487"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D33649">
        <w:rPr>
          <w:rFonts w:ascii="Times New Roman" w:hAnsi="Times New Roman" w:cs="Times New Roman"/>
        </w:rPr>
        <w:t>CABINET DE COURTAGE BIZET</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r w:rsidR="00D33649">
        <w:rPr>
          <w:rFonts w:ascii="Times New Roman" w:hAnsi="Times New Roman" w:cs="Times New Roman"/>
        </w:rPr>
        <w:t>CABINET DE COURTAGE BIZET</w:t>
      </w:r>
      <w:r w:rsidR="00F36D71">
        <w:rPr>
          <w:rFonts w:ascii="Times New Roman" w:hAnsi="Times New Roman" w:cs="Times New Roman"/>
        </w:rPr>
        <w:t xml:space="preserve">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21250CFD" w14:textId="04ACC861"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r w:rsidR="00CE5ED5" w:rsidRPr="00CA1169">
        <w:rPr>
          <w:rFonts w:ascii="Times New Roman" w:hAnsi="Times New Roman" w:cs="Times New Roman"/>
          <w:color w:val="ED7D31" w:themeColor="accent2"/>
          <w:sz w:val="22"/>
        </w:rPr>
        <w:t xml:space="preserve"> </w:t>
      </w:r>
    </w:p>
    <w:p w14:paraId="09580A03" w14:textId="77777777" w:rsidR="00CA1169" w:rsidRPr="00CA1169" w:rsidRDefault="00CA1169" w:rsidP="00880CD4">
      <w:pPr>
        <w:spacing w:after="0"/>
        <w:jc w:val="both"/>
        <w:rPr>
          <w:rFonts w:ascii="Times New Roman" w:hAnsi="Times New Roman" w:cs="Times New Roman"/>
        </w:rPr>
      </w:pPr>
    </w:p>
    <w:p w14:paraId="28A4340D" w14:textId="4AF7726D"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0455CB5A" w14:textId="77777777" w:rsidR="00D66EB7" w:rsidRPr="00D66EB7" w:rsidRDefault="00D66EB7" w:rsidP="00D66EB7">
      <w:pPr>
        <w:shd w:val="clear" w:color="auto" w:fill="FFFFFF"/>
        <w:spacing w:after="0" w:line="240" w:lineRule="auto"/>
        <w:ind w:left="708"/>
        <w:rPr>
          <w:rFonts w:ascii="Times New Roman" w:hAnsi="Times New Roman" w:cs="Times New Roman"/>
        </w:rPr>
      </w:pPr>
      <w:r w:rsidRPr="00D66EB7">
        <w:rPr>
          <w:rFonts w:ascii="Times New Roman" w:hAnsi="Times New Roman" w:cs="Times New Roman"/>
        </w:rPr>
        <w:t>CABINET DE COURTAGE BIZET</w:t>
      </w:r>
    </w:p>
    <w:p w14:paraId="56F07782" w14:textId="77777777" w:rsidR="00D66EB7" w:rsidRPr="00D66EB7" w:rsidRDefault="00D66EB7" w:rsidP="00D66EB7">
      <w:pPr>
        <w:shd w:val="clear" w:color="auto" w:fill="FFFFFF"/>
        <w:spacing w:after="0" w:line="240" w:lineRule="auto"/>
        <w:ind w:left="708"/>
        <w:rPr>
          <w:rFonts w:ascii="Times New Roman" w:hAnsi="Times New Roman" w:cs="Times New Roman"/>
        </w:rPr>
      </w:pPr>
      <w:r w:rsidRPr="00D66EB7">
        <w:rPr>
          <w:rFonts w:ascii="Times New Roman" w:hAnsi="Times New Roman" w:cs="Times New Roman"/>
        </w:rPr>
        <w:t>24 rue Duffaut</w:t>
      </w:r>
    </w:p>
    <w:p w14:paraId="43AEF0C2" w14:textId="22B3632D" w:rsidR="00D66EB7" w:rsidRPr="00D66EB7" w:rsidRDefault="00D66EB7" w:rsidP="00D66EB7">
      <w:pPr>
        <w:shd w:val="clear" w:color="auto" w:fill="FFFFFF"/>
        <w:spacing w:after="0" w:line="240" w:lineRule="auto"/>
        <w:ind w:left="708"/>
        <w:rPr>
          <w:rFonts w:ascii="Times New Roman" w:hAnsi="Times New Roman" w:cs="Times New Roman"/>
        </w:rPr>
      </w:pPr>
      <w:r w:rsidRPr="00D66EB7">
        <w:rPr>
          <w:rFonts w:ascii="Times New Roman" w:hAnsi="Times New Roman" w:cs="Times New Roman"/>
        </w:rPr>
        <w:t>92140 CLAMART</w:t>
      </w:r>
    </w:p>
    <w:p w14:paraId="103B2013" w14:textId="0B184F0A" w:rsidR="000E7D03" w:rsidRPr="00CA1169" w:rsidRDefault="00D66EB7" w:rsidP="00D66EB7">
      <w:pPr>
        <w:shd w:val="clear" w:color="auto" w:fill="FFFFFF"/>
        <w:spacing w:after="0" w:line="240" w:lineRule="auto"/>
        <w:ind w:left="708"/>
        <w:rPr>
          <w:rFonts w:ascii="Times New Roman" w:hAnsi="Times New Roman" w:cs="Times New Roman"/>
          <w:color w:val="ED7D31" w:themeColor="accent2"/>
        </w:rPr>
      </w:pPr>
      <w:r w:rsidRPr="00D66EB7">
        <w:rPr>
          <w:rFonts w:ascii="Times New Roman" w:hAnsi="Times New Roman" w:cs="Times New Roman"/>
        </w:rPr>
        <w:t>info@cdcb.fr</w:t>
      </w:r>
    </w:p>
    <w:p w14:paraId="474A3A77" w14:textId="77777777" w:rsidR="002D613E" w:rsidRPr="00CA1169" w:rsidRDefault="002D613E" w:rsidP="00880CD4">
      <w:pPr>
        <w:shd w:val="clear" w:color="auto" w:fill="FFFFFF"/>
        <w:spacing w:after="0" w:line="240" w:lineRule="auto"/>
        <w:rPr>
          <w:rFonts w:ascii="Times New Roman" w:hAnsi="Times New Roman" w:cs="Times New Roman"/>
        </w:rPr>
      </w:pPr>
    </w:p>
    <w:p w14:paraId="4BA56937" w14:textId="7DB49A6C"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449E5486" w14:textId="77777777" w:rsidR="00CA1169" w:rsidRDefault="00CA1169" w:rsidP="00252A39">
      <w:pPr>
        <w:jc w:val="both"/>
        <w:rPr>
          <w:rFonts w:ascii="Times New Roman" w:hAnsi="Times New Roman" w:cs="Times New Roman"/>
          <w:shd w:val="clear" w:color="auto" w:fill="FFFFFF"/>
        </w:rPr>
      </w:pPr>
    </w:p>
    <w:p w14:paraId="23C24AC2" w14:textId="0B019934"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w:t>
      </w:r>
      <w:r w:rsidR="00BD7887">
        <w:rPr>
          <w:rFonts w:ascii="Times New Roman" w:hAnsi="Times New Roman" w:cs="Times New Roman"/>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54AB5391" w14:textId="3285E7A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4BB1D7B0"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t>Données personnelles</w:t>
      </w:r>
      <w:r w:rsidR="003363D8" w:rsidRPr="00CA1169">
        <w:rPr>
          <w:rFonts w:ascii="Times New Roman" w:hAnsi="Times New Roman" w:cs="Times New Roman"/>
          <w:color w:val="ED7D31" w:themeColor="accent2"/>
        </w:rPr>
        <w:t xml:space="preserve"> courantes </w:t>
      </w:r>
    </w:p>
    <w:p w14:paraId="00AC5801" w14:textId="5F054508"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6EB8C267" w14:textId="34AEA5DC"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lastRenderedPageBreak/>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51C1A58B" w14:textId="14549466"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matrimoniale)</w:t>
      </w:r>
    </w:p>
    <w:p w14:paraId="3D9CDFBF" w14:textId="496362E5"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w:t>
      </w:r>
      <w:r w:rsidR="00104607" w:rsidRPr="00706D32">
        <w:rPr>
          <w:rFonts w:ascii="Times New Roman" w:hAnsi="Times New Roman" w:cs="Times New Roman"/>
        </w:rPr>
        <w:t xml:space="preserve"> professionnelles</w:t>
      </w:r>
    </w:p>
    <w:p w14:paraId="04D5B706" w14:textId="622DF090"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 d’ordre économique et financier (situation patrimoniale, situation financière, revenus, déclarations fiscales, …)</w:t>
      </w:r>
    </w:p>
    <w:p w14:paraId="46406F1D" w14:textId="77777777" w:rsidR="006C693B" w:rsidRPr="000D1112" w:rsidRDefault="006C693B" w:rsidP="006C693B">
      <w:pPr>
        <w:pStyle w:val="Paragraphedeliste"/>
        <w:jc w:val="both"/>
        <w:rPr>
          <w:rFonts w:ascii="Times New Roman" w:hAnsi="Times New Roman" w:cs="Times New Roman"/>
          <w:color w:val="ED7D31" w:themeColor="accent2"/>
        </w:rPr>
      </w:pPr>
    </w:p>
    <w:p w14:paraId="30F38560"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76784B1E" w14:textId="77777777" w:rsidR="000D1112" w:rsidRDefault="000D1112" w:rsidP="00252A39">
      <w:pPr>
        <w:jc w:val="both"/>
        <w:rPr>
          <w:rFonts w:ascii="Times New Roman" w:hAnsi="Times New Roman" w:cs="Times New Roman"/>
          <w:shd w:val="clear" w:color="auto" w:fill="FFFFFF"/>
        </w:rPr>
      </w:pPr>
    </w:p>
    <w:p w14:paraId="0950858D" w14:textId="296E8209"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7120253F" w14:textId="5CA81FF0"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941D679" w14:textId="1CA2B3AC"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6DCDD212" w14:textId="180158E0"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06BB58A7" w14:textId="1C7D5BCC"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0C00EEF5"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r w:rsidR="00945888" w:rsidRPr="000D1112">
        <w:rPr>
          <w:rFonts w:ascii="Times New Roman" w:hAnsi="Times New Roman" w:cs="Times New Roman"/>
          <w:color w:val="ED7D31" w:themeColor="accent2"/>
          <w:sz w:val="22"/>
        </w:rPr>
        <w:t xml:space="preserve"> </w:t>
      </w:r>
    </w:p>
    <w:p w14:paraId="2C77C0B9" w14:textId="77777777" w:rsidR="000D1112" w:rsidRDefault="000D1112" w:rsidP="00D22659">
      <w:pPr>
        <w:jc w:val="both"/>
        <w:rPr>
          <w:rFonts w:ascii="Times New Roman" w:hAnsi="Times New Roman" w:cs="Times New Roman"/>
          <w:shd w:val="clear" w:color="auto" w:fill="FFFFFF"/>
        </w:rPr>
      </w:pPr>
    </w:p>
    <w:p w14:paraId="1FAD5FE5" w14:textId="204A15A8"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59449C20" w14:textId="095EBEC6" w:rsidR="002C54E2" w:rsidRPr="000D1112" w:rsidRDefault="00D33649" w:rsidP="00D22659">
      <w:pPr>
        <w:jc w:val="both"/>
        <w:rPr>
          <w:rFonts w:ascii="Times New Roman" w:hAnsi="Times New Roman" w:cs="Times New Roman"/>
          <w:i/>
          <w:color w:val="ED7D31" w:themeColor="accent2"/>
          <w:sz w:val="21"/>
          <w:szCs w:val="21"/>
          <w:shd w:val="clear" w:color="auto" w:fill="FFFFFF"/>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r w:rsidR="004D08EF" w:rsidRPr="00706D32">
        <w:rPr>
          <w:rFonts w:ascii="Times New Roman" w:hAnsi="Times New Roman" w:cs="Times New Roman"/>
          <w:shd w:val="clear" w:color="auto" w:fill="FFFFFF"/>
        </w:rPr>
        <w:t>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Pr>
          <w:rFonts w:ascii="Times New Roman" w:hAnsi="Times New Roman" w:cs="Times New Roman"/>
          <w:shd w:val="clear" w:color="auto" w:fill="FFFFFF"/>
        </w:rPr>
        <w:t xml:space="preserve"> </w:t>
      </w:r>
    </w:p>
    <w:p w14:paraId="3826507E" w14:textId="548D2C16" w:rsidR="00CB5FAC" w:rsidRPr="00CA1169" w:rsidRDefault="00D33649" w:rsidP="00D22659">
      <w:pPr>
        <w:jc w:val="both"/>
        <w:rPr>
          <w:rFonts w:ascii="Times New Roman" w:hAnsi="Times New Roman" w:cs="Times New Roman"/>
          <w:shd w:val="clear" w:color="auto" w:fill="FFFFFF"/>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30EAB596" w14:textId="279176F0"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 xml:space="preserve">s des partenaires avec lesquels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0D1112">
        <w:rPr>
          <w:rFonts w:ascii="Times New Roman" w:hAnsi="Times New Roman" w:cs="Times New Roman"/>
          <w:shd w:val="clear" w:color="auto" w:fill="FFFFFF"/>
        </w:rPr>
        <w:t>travaille</w:t>
      </w:r>
    </w:p>
    <w:p w14:paraId="3744FDBB" w14:textId="10DE5133"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CC6B849" w14:textId="01D924CD"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026586C5" w14:textId="2F131CB0"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B404CFB" w14:textId="0E4956AC"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65595E89"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5719E48E" w14:textId="77777777" w:rsidR="000D1112" w:rsidRDefault="000D1112" w:rsidP="00DC61CE">
      <w:pPr>
        <w:jc w:val="both"/>
        <w:rPr>
          <w:rFonts w:ascii="Times New Roman" w:hAnsi="Times New Roman" w:cs="Times New Roman"/>
          <w:shd w:val="clear" w:color="auto" w:fill="FFFFFF"/>
        </w:rPr>
      </w:pPr>
    </w:p>
    <w:p w14:paraId="308CAA9A" w14:textId="51702A76"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18205D4D" w14:textId="2543E902"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CA81057" w14:textId="19D3E5AD"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5DA01DBC" w14:textId="28152EE3"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398A4821"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121024" w:rsidRPr="00CA1169">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CA1169"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38AE12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4143F93F"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43D074DA" w14:textId="2EB1C780"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4C8A491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3106050" w14:textId="4E29808B"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64B946E" w14:textId="2A9D7DC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5306415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905C5B1" w14:textId="58568DC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2D7DED52" w14:textId="504BDA9D"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00B71E02" w14:textId="77777777" w:rsidR="00302C07" w:rsidRPr="00CA1169" w:rsidRDefault="00302C07" w:rsidP="00302C07">
      <w:pPr>
        <w:jc w:val="both"/>
        <w:rPr>
          <w:rFonts w:ascii="Times New Roman" w:hAnsi="Times New Roman" w:cs="Times New Roman"/>
        </w:rPr>
      </w:pPr>
    </w:p>
    <w:p w14:paraId="0C06E54F" w14:textId="5866492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r w:rsidRPr="000D1112">
        <w:rPr>
          <w:rFonts w:ascii="Times New Roman" w:hAnsi="Times New Roman" w:cs="Times New Roman"/>
          <w:color w:val="ED7D31" w:themeColor="accent2"/>
        </w:rPr>
        <w:t xml:space="preserve"> </w:t>
      </w:r>
    </w:p>
    <w:p w14:paraId="67114B03" w14:textId="77777777" w:rsidR="000D1112" w:rsidRPr="000D1112" w:rsidRDefault="000D1112" w:rsidP="000D1112"/>
    <w:p w14:paraId="7D29D471" w14:textId="64435C13"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07302C62" w14:textId="34793D7D"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personnels habilités des entités du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Pr>
          <w:rFonts w:ascii="Times New Roman" w:hAnsi="Times New Roman" w:cs="Times New Roman"/>
          <w:shd w:val="clear" w:color="auto" w:fill="FFFFFF"/>
        </w:rPr>
        <w:t>dans le cadre de l’exercice de leurs missions habituelles ;</w:t>
      </w:r>
    </w:p>
    <w:p w14:paraId="6A28E2D5" w14:textId="45AE5685"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délégataires de gestion et intermédiaires d’assurance ; </w:t>
      </w:r>
    </w:p>
    <w:p w14:paraId="4C3A01E2" w14:textId="6220B7C6"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assureurs ;</w:t>
      </w:r>
    </w:p>
    <w:p w14:paraId="6CB5F460" w14:textId="6EF44B7F"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partenaires, prestataires ;</w:t>
      </w:r>
    </w:p>
    <w:p w14:paraId="7D89541F" w14:textId="7A43CBBE"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15EC32D5" w14:textId="107B54F9"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4AE42DD0" w14:textId="7B7C94AD"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habilitées au titre des tiers autorisés (autorité de contrôle, commissaires aux comptes, …).</w:t>
      </w:r>
    </w:p>
    <w:p w14:paraId="0559E0F6" w14:textId="3CF8D268" w:rsidR="008A558F" w:rsidRPr="008A558F" w:rsidRDefault="00D33649" w:rsidP="008A558F">
      <w:pPr>
        <w:jc w:val="both"/>
        <w:rPr>
          <w:rFonts w:ascii="Times New Roman" w:hAnsi="Times New Roman" w:cs="Times New Roman"/>
          <w:shd w:val="clear" w:color="auto" w:fill="FFFFFF"/>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8A558F" w:rsidRPr="008A558F">
        <w:rPr>
          <w:rFonts w:ascii="Times New Roman" w:hAnsi="Times New Roman" w:cs="Times New Roman"/>
          <w:shd w:val="clear" w:color="auto" w:fill="FFFFFF"/>
        </w:rPr>
        <w:t>s’interdit de céder les données personnelles que vous nous confiez à des tiers pour des utilisations qui leur seraient propres.</w:t>
      </w:r>
    </w:p>
    <w:p w14:paraId="2C25537E" w14:textId="4B061EBB"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r w:rsidR="0084067F" w:rsidRPr="000D1112">
        <w:rPr>
          <w:rFonts w:ascii="Times New Roman" w:hAnsi="Times New Roman" w:cs="Times New Roman"/>
          <w:color w:val="ED7D31" w:themeColor="accent2"/>
        </w:rPr>
        <w:t xml:space="preserve"> </w:t>
      </w:r>
    </w:p>
    <w:p w14:paraId="2F00E469" w14:textId="49817509" w:rsidR="00456D7C" w:rsidRPr="00CA1169" w:rsidRDefault="00D33649" w:rsidP="00166DE7">
      <w:pPr>
        <w:jc w:val="both"/>
        <w:rPr>
          <w:rFonts w:ascii="Times New Roman" w:hAnsi="Times New Roman" w:cs="Times New Roman"/>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50476F9A"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5F915085"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77E96D70"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37D3AA6A" w14:textId="77777777" w:rsidR="000D1112" w:rsidRDefault="000D1112" w:rsidP="00EA04DB">
      <w:pPr>
        <w:jc w:val="both"/>
        <w:rPr>
          <w:rFonts w:ascii="Times New Roman" w:hAnsi="Times New Roman" w:cs="Times New Roman"/>
        </w:rPr>
      </w:pPr>
    </w:p>
    <w:p w14:paraId="51184C4F" w14:textId="5C22A2FD"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lastRenderedPageBreak/>
        <w:t>Droit à l’information</w:t>
      </w:r>
    </w:p>
    <w:p w14:paraId="2E6EA0CB" w14:textId="088F1736" w:rsidR="000B6313" w:rsidRPr="005C2793" w:rsidRDefault="00DC6171" w:rsidP="005C2793">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51B4836"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d’accès</w:t>
      </w:r>
    </w:p>
    <w:p w14:paraId="62AE2FDC" w14:textId="2AA74A7F"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4F6EE882"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6CDA980B" w14:textId="62E0DC33"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907CF84"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5BB0B59F" w14:textId="48B481BB"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68CE6CBE" w14:textId="2047DE4C"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62D1BBED" w14:textId="4B226AA1"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3234FDC" w14:textId="74526BF8"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1CBB7FD1" w14:textId="1B0B81B8"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44697432" w14:textId="09D560C1"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1C9B7E07" w14:textId="0F7D6209"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7DFE9407" w14:textId="37071A1F"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11786AB7" w14:textId="503D73B1"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43EA08C"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41A1D1B5" w14:textId="56B9A047"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 xml:space="preserve">ez donc à tout moment contacter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2AF28E3B" w14:textId="6F500273" w:rsidR="007F242A" w:rsidRPr="00CA1169" w:rsidRDefault="007F242A" w:rsidP="00F37DD1">
      <w:pPr>
        <w:jc w:val="both"/>
        <w:rPr>
          <w:rFonts w:ascii="Times New Roman" w:hAnsi="Times New Roman" w:cs="Times New Roman"/>
        </w:rPr>
      </w:pPr>
      <w:r w:rsidRPr="00CA1169">
        <w:rPr>
          <w:rFonts w:ascii="Times New Roman" w:hAnsi="Times New Roman" w:cs="Times New Roman"/>
        </w:rPr>
        <w:lastRenderedPageBreak/>
        <w:t xml:space="preserve">Pour le droit d’accès,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Pr>
          <w:rFonts w:ascii="Times New Roman" w:hAnsi="Times New Roman" w:cs="Times New Roman"/>
        </w:rPr>
        <w:t xml:space="preserve">olongation du délai de réponse,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vous le notifiera au préalable.</w:t>
      </w:r>
    </w:p>
    <w:p w14:paraId="77F6E517" w14:textId="59912936"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8F381A">
        <w:rPr>
          <w:rFonts w:ascii="Times New Roman" w:hAnsi="Times New Roman" w:cs="Times New Roman"/>
          <w:color w:val="00B050"/>
        </w:rPr>
        <w:t xml:space="preserv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005725D0" w:rsidRPr="00CA1169">
        <w:rPr>
          <w:rFonts w:ascii="Times New Roman" w:hAnsi="Times New Roman" w:cs="Times New Roman"/>
        </w:rPr>
        <w:t>vous le notifiera au préalable.</w:t>
      </w:r>
    </w:p>
    <w:p w14:paraId="55BFA97A"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34D58C8E" w14:textId="607E9B38"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8F381A">
        <w:rPr>
          <w:rFonts w:ascii="Times New Roman" w:hAnsi="Times New Roman" w:cs="Times New Roman"/>
        </w:rPr>
        <w:t xml:space="preserve"> </w:t>
      </w:r>
      <w:r w:rsidR="00D33649">
        <w:rPr>
          <w:rFonts w:ascii="Times New Roman" w:hAnsi="Times New Roman" w:cs="Times New Roman"/>
        </w:rPr>
        <w:t>CABINET DE COURTAGE BIZET</w:t>
      </w:r>
      <w:r w:rsidR="00D33649" w:rsidRPr="00CA1169">
        <w:rPr>
          <w:rFonts w:ascii="Times New Roman" w:hAnsi="Times New Roman" w:cs="Times New Roman"/>
          <w:color w:val="ED7D31" w:themeColor="accent2"/>
        </w:rPr>
        <w:t xml:space="preserve"> </w:t>
      </w:r>
      <w:r w:rsidRPr="00CA1169">
        <w:rPr>
          <w:rFonts w:ascii="Times New Roman" w:hAnsi="Times New Roman" w:cs="Times New Roman"/>
        </w:rPr>
        <w:t>pour garantir la confidentialité des données, et notamment éviter tout accès non autorisé.</w:t>
      </w:r>
    </w:p>
    <w:p w14:paraId="7F7DF840" w14:textId="603FCA18"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2D19D4F8" w14:textId="472880D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530BF427" w14:textId="571D9EE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0CA24FA4" w14:textId="068BCBA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49D60764" w14:textId="3E96D233"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32E665BD" w14:textId="0939B3B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4BD9D867" w14:textId="4FD5AAB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7F4FD1F6" w14:textId="72E9171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3436D5CF" w14:textId="19AF5EC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36B54163" w14:textId="3857D97D"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7D5AEF71" w14:textId="773B16C0"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1EA9B932" w14:textId="30E2C777" w:rsidR="004E70CC" w:rsidRPr="00CA1169" w:rsidRDefault="00D33649" w:rsidP="00F37DD1">
      <w:pPr>
        <w:jc w:val="both"/>
        <w:rPr>
          <w:rFonts w:ascii="Times New Roman" w:hAnsi="Times New Roman" w:cs="Times New Roman"/>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28336D1E" w14:textId="4421D394"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57EDE692" w14:textId="4CD32AB5" w:rsidR="000B0AF3" w:rsidRPr="00CA1169" w:rsidRDefault="00D33649" w:rsidP="00CE60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CABINET DE COURTAGE BIZET</w:t>
      </w:r>
      <w:r w:rsidRPr="00CA1169">
        <w:rPr>
          <w:rFonts w:ascii="Times New Roman" w:hAnsi="Times New Roman" w:cs="Times New Roman"/>
          <w:color w:val="ED7D31" w:themeColor="accent2"/>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CB3649A"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220AEE15" w14:textId="0A7149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85C5B05" w14:textId="394E0801"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2A1C9BEB" w14:textId="731D5B5A"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4846732C" w14:textId="1B582D3D" w:rsidR="009F63D3" w:rsidRDefault="009F63D3" w:rsidP="009F63D3">
      <w:pPr>
        <w:autoSpaceDE w:val="0"/>
        <w:autoSpaceDN w:val="0"/>
        <w:adjustRightInd w:val="0"/>
        <w:spacing w:after="0" w:line="240" w:lineRule="auto"/>
        <w:jc w:val="both"/>
        <w:rPr>
          <w:rFonts w:ascii="Times New Roman" w:hAnsi="Times New Roman" w:cs="Times New Roman"/>
        </w:rPr>
      </w:pPr>
    </w:p>
    <w:p w14:paraId="3203EC9A" w14:textId="51804679"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lastRenderedPageBreak/>
        <w:t>Conservation des données</w:t>
      </w:r>
    </w:p>
    <w:p w14:paraId="7CA1217E" w14:textId="77777777" w:rsidR="009F63D3" w:rsidRDefault="009F63D3" w:rsidP="009F63D3"/>
    <w:p w14:paraId="099ADF8F"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157F1D16"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 xml:space="preserve">Vos données personnelles sont conservées tant qu'elles sont nécessaires pour l’exécution de votre contrat ou pour répondre à des obligations légales. </w:t>
      </w:r>
    </w:p>
    <w:p w14:paraId="1E4CF1A8" w14:textId="211069D6"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411C6E5E" w14:textId="627B52EF" w:rsidR="009F63D3" w:rsidRPr="009F63D3" w:rsidRDefault="009F63D3" w:rsidP="009F63D3">
      <w:pPr>
        <w:jc w:val="both"/>
        <w:rPr>
          <w:rFonts w:ascii="Times New Roman" w:hAnsi="Times New Roman" w:cs="Times New Roman"/>
        </w:rPr>
      </w:pPr>
      <w:r w:rsidRPr="009F63D3">
        <w:rPr>
          <w:rFonts w:ascii="Times New Roman" w:hAnsi="Times New Roman" w:cs="Times New Roman"/>
        </w:rPr>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
        <w:tblW w:w="0" w:type="auto"/>
        <w:tblLook w:val="04A0" w:firstRow="1" w:lastRow="0" w:firstColumn="1" w:lastColumn="0" w:noHBand="0" w:noVBand="1"/>
      </w:tblPr>
      <w:tblGrid>
        <w:gridCol w:w="4531"/>
        <w:gridCol w:w="4531"/>
      </w:tblGrid>
      <w:tr w:rsidR="009F63D3" w:rsidRPr="00CA1169" w14:paraId="458F94F6"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163F6B" w14:textId="0987F8D0"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4B8B9994" w14:textId="2E0BF5E8"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6BAD6DF1"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3052852C" w14:textId="49E598FC"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68CBC0B9" w14:textId="2B5459CE"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7C5C9392"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775FB69A" w14:textId="3953879B"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2DED1C1F" w14:textId="494C56D6"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816EBE4" w14:textId="77777777" w:rsidR="009F63D3" w:rsidRPr="009F63D3" w:rsidRDefault="009F63D3" w:rsidP="009F63D3"/>
    <w:p w14:paraId="26965CB1" w14:textId="1D3C2859"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908C" w14:textId="77777777" w:rsidR="00911180" w:rsidRDefault="00911180" w:rsidP="00DE7306">
      <w:pPr>
        <w:spacing w:after="0" w:line="240" w:lineRule="auto"/>
      </w:pPr>
      <w:r>
        <w:separator/>
      </w:r>
    </w:p>
  </w:endnote>
  <w:endnote w:type="continuationSeparator" w:id="0">
    <w:p w14:paraId="1AA25F9D" w14:textId="77777777" w:rsidR="00911180" w:rsidRDefault="00911180"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6947C6D7" w:rsidR="00DE7306" w:rsidRDefault="00DE7306">
        <w:pPr>
          <w:pStyle w:val="Pieddepage"/>
          <w:jc w:val="right"/>
        </w:pPr>
        <w:r>
          <w:fldChar w:fldCharType="begin"/>
        </w:r>
        <w:r>
          <w:instrText>PAGE   \* MERGEFORMAT</w:instrText>
        </w:r>
        <w:r>
          <w:fldChar w:fldCharType="separate"/>
        </w:r>
        <w:r w:rsidR="003D5CBE">
          <w:rPr>
            <w:noProof/>
          </w:rPr>
          <w:t>6</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3823" w14:textId="77777777" w:rsidR="00911180" w:rsidRDefault="00911180" w:rsidP="00DE7306">
      <w:pPr>
        <w:spacing w:after="0" w:line="240" w:lineRule="auto"/>
      </w:pPr>
      <w:r>
        <w:separator/>
      </w:r>
    </w:p>
  </w:footnote>
  <w:footnote w:type="continuationSeparator" w:id="0">
    <w:p w14:paraId="570A267C" w14:textId="77777777" w:rsidR="00911180" w:rsidRDefault="00911180"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3E53BEA9"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393122">
      <w:rPr>
        <w:rFonts w:ascii="Times New Roman" w:hAnsi="Times New Roman" w:cs="Times New Roman"/>
      </w:rPr>
      <w:t xml:space="preserve"> </w:t>
    </w:r>
    <w:r w:rsidR="00D33649">
      <w:rPr>
        <w:rFonts w:ascii="Times New Roman" w:hAnsi="Times New Roman" w:cs="Times New Roman"/>
      </w:rPr>
      <w:t>CABINET DE COURTAGE BIZET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25"/>
  </w:num>
  <w:num w:numId="6">
    <w:abstractNumId w:val="31"/>
  </w:num>
  <w:num w:numId="7">
    <w:abstractNumId w:val="19"/>
  </w:num>
  <w:num w:numId="8">
    <w:abstractNumId w:val="3"/>
  </w:num>
  <w:num w:numId="9">
    <w:abstractNumId w:val="21"/>
  </w:num>
  <w:num w:numId="10">
    <w:abstractNumId w:val="32"/>
  </w:num>
  <w:num w:numId="11">
    <w:abstractNumId w:val="1"/>
  </w:num>
  <w:num w:numId="12">
    <w:abstractNumId w:val="2"/>
  </w:num>
  <w:num w:numId="13">
    <w:abstractNumId w:val="27"/>
  </w:num>
  <w:num w:numId="14">
    <w:abstractNumId w:val="28"/>
  </w:num>
  <w:num w:numId="15">
    <w:abstractNumId w:val="14"/>
  </w:num>
  <w:num w:numId="16">
    <w:abstractNumId w:val="12"/>
  </w:num>
  <w:num w:numId="17">
    <w:abstractNumId w:val="11"/>
  </w:num>
  <w:num w:numId="18">
    <w:abstractNumId w:val="11"/>
    <w:lvlOverride w:ilvl="0">
      <w:startOverride w:val="1"/>
    </w:lvlOverride>
  </w:num>
  <w:num w:numId="19">
    <w:abstractNumId w:val="7"/>
  </w:num>
  <w:num w:numId="20">
    <w:abstractNumId w:val="20"/>
  </w:num>
  <w:num w:numId="21">
    <w:abstractNumId w:val="18"/>
  </w:num>
  <w:num w:numId="22">
    <w:abstractNumId w:val="12"/>
    <w:lvlOverride w:ilvl="0">
      <w:startOverride w:val="1"/>
    </w:lvlOverride>
  </w:num>
  <w:num w:numId="23">
    <w:abstractNumId w:val="10"/>
  </w:num>
  <w:num w:numId="24">
    <w:abstractNumId w:val="30"/>
  </w:num>
  <w:num w:numId="25">
    <w:abstractNumId w:val="23"/>
  </w:num>
  <w:num w:numId="26">
    <w:abstractNumId w:val="6"/>
  </w:num>
  <w:num w:numId="27">
    <w:abstractNumId w:val="17"/>
  </w:num>
  <w:num w:numId="28">
    <w:abstractNumId w:val="29"/>
  </w:num>
  <w:num w:numId="29">
    <w:abstractNumId w:val="10"/>
    <w:lvlOverride w:ilvl="0">
      <w:startOverride w:val="2"/>
    </w:lvlOverride>
  </w:num>
  <w:num w:numId="30">
    <w:abstractNumId w:val="10"/>
    <w:lvlOverride w:ilvl="0">
      <w:startOverride w:val="4"/>
    </w:lvlOverride>
  </w:num>
  <w:num w:numId="31">
    <w:abstractNumId w:val="22"/>
  </w:num>
  <w:num w:numId="32">
    <w:abstractNumId w:val="4"/>
  </w:num>
  <w:num w:numId="33">
    <w:abstractNumId w:val="5"/>
  </w:num>
  <w:num w:numId="34">
    <w:abstractNumId w:val="0"/>
  </w:num>
  <w:num w:numId="35">
    <w:abstractNumId w:val="16"/>
  </w:num>
  <w:num w:numId="36">
    <w:abstractNumId w:val="1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302B50"/>
    <w:rsid w:val="00302C07"/>
    <w:rsid w:val="00321434"/>
    <w:rsid w:val="00322690"/>
    <w:rsid w:val="00334F6F"/>
    <w:rsid w:val="003363D8"/>
    <w:rsid w:val="003640C9"/>
    <w:rsid w:val="00366619"/>
    <w:rsid w:val="00373E0B"/>
    <w:rsid w:val="003747F3"/>
    <w:rsid w:val="003778E8"/>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35C5C"/>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E5AA4"/>
    <w:rsid w:val="007F1EFB"/>
    <w:rsid w:val="007F2406"/>
    <w:rsid w:val="007F242A"/>
    <w:rsid w:val="00800D52"/>
    <w:rsid w:val="00811929"/>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1180"/>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526CE"/>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0E9B"/>
    <w:rsid w:val="00B52F58"/>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25B0F"/>
    <w:rsid w:val="00D30FF6"/>
    <w:rsid w:val="00D33649"/>
    <w:rsid w:val="00D431B0"/>
    <w:rsid w:val="00D543D8"/>
    <w:rsid w:val="00D6304D"/>
    <w:rsid w:val="00D63635"/>
    <w:rsid w:val="00D66EB7"/>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E453B"/>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12733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2021-10-29T08:49:00Z</dcterms:created>
  <dcterms:modified xsi:type="dcterms:W3CDTF">2021-10-29T08:49:00Z</dcterms:modified>
</cp:coreProperties>
</file>